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36" w:type="dxa"/>
        <w:tblLook w:val="04A0" w:firstRow="1" w:lastRow="0" w:firstColumn="1" w:lastColumn="0" w:noHBand="0" w:noVBand="1"/>
      </w:tblPr>
      <w:tblGrid>
        <w:gridCol w:w="2552"/>
        <w:gridCol w:w="567"/>
        <w:gridCol w:w="1276"/>
        <w:gridCol w:w="868"/>
        <w:gridCol w:w="1258"/>
        <w:gridCol w:w="992"/>
        <w:gridCol w:w="142"/>
        <w:gridCol w:w="850"/>
        <w:gridCol w:w="273"/>
        <w:gridCol w:w="861"/>
        <w:gridCol w:w="419"/>
        <w:gridCol w:w="678"/>
      </w:tblGrid>
      <w:tr w:rsidR="00A8547C" w:rsidRPr="00DD6A46" w14:paraId="13BC1338" w14:textId="77777777" w:rsidTr="00DD6A46">
        <w:trPr>
          <w:gridAfter w:val="2"/>
          <w:wAfter w:w="1097" w:type="dxa"/>
          <w:trHeight w:val="3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82AD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# positive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0689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viol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6785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14A89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D6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Zipcode</w:t>
            </w:r>
            <w:proofErr w:type="spellEnd"/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52EEE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9/29 res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2D0A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9/22 res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A488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9/15 res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F5AE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#pos times</w:t>
            </w:r>
          </w:p>
        </w:tc>
      </w:tr>
      <w:tr w:rsidR="00A8547C" w:rsidRPr="00DD6A46" w14:paraId="096474D5" w14:textId="77777777" w:rsidTr="00DD6A46">
        <w:trPr>
          <w:gridAfter w:val="2"/>
          <w:wAfter w:w="1097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A40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37DA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56E6D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4A2956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2084A3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2420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C156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AE52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547C" w:rsidRPr="00DD6A46" w14:paraId="3BB75E0A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C3C0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9BAE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6D30A9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0A40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D26CB4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F109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B03A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5F42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547C" w:rsidRPr="00DD6A46" w14:paraId="156CBCD8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713D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EF33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060A7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8BA83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18173F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95B1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7DEC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794F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547C" w:rsidRPr="00DD6A46" w14:paraId="34E880EA" w14:textId="77777777" w:rsidTr="00DD6A46">
        <w:trPr>
          <w:gridAfter w:val="2"/>
          <w:wAfter w:w="1097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6897" w14:textId="4E59D61B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Gravese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0C3A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B65C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9E1F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9D5A9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-334.04919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C2C3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6AD0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7B56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47C" w:rsidRPr="00DD6A46" w14:paraId="6E7B9BE4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4F6C" w14:textId="734C8ECB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idwood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C7D6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4246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2FA1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AEFC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183.165455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9425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0EE8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AE5B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A8547C" w:rsidRPr="00DD6A46" w14:paraId="6F98B5F3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7AEF" w14:textId="2A269AE5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latlands/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idwood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D51A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1BB6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0A14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F8FDC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259.412938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C8A9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B7CA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834C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A8547C" w:rsidRPr="00DD6A46" w14:paraId="32F75A27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2616" w14:textId="5A342106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Borough P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8B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9731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084C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F08C0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-224.58518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8FFC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6F1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B10F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47C" w:rsidRPr="00DD6A46" w14:paraId="72A2F802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4B81" w14:textId="32774A2C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ensonhurst/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apleton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7CAF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4A32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4D7B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F6869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-252.09285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6062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5A14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A03C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47C" w:rsidRPr="00DD6A46" w14:paraId="0D6A72B9" w14:textId="77777777" w:rsidTr="00DD6A46">
        <w:trPr>
          <w:gridAfter w:val="2"/>
          <w:wAfter w:w="1097" w:type="dxa"/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593D" w14:textId="49B228F4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heepshead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6462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DABF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8E60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2F389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-400.41317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8F82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45AB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89F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47C" w:rsidRPr="00DD6A46" w14:paraId="7E2846A7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572" w14:textId="421B354B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Kew Garden Hi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lls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0FC5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BBD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Queens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DCF6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11367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8B844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13.6636663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B596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0DC4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DC9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A8547C" w:rsidRPr="00DD6A46" w14:paraId="2423A968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9C7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F3E7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EA9B05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49C7D7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843F58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14AB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E25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C1B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547C" w:rsidRPr="00DD6A46" w14:paraId="02034C41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CD35" w14:textId="6F3D4216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Rego Park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163C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ED8A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Queens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96C8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11374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653B7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563.246871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843F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4CE4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7EC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A8547C" w:rsidRPr="00DD6A46" w14:paraId="21B427CD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FB8E" w14:textId="1A40ECF8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 Rockaw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5B4A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1B84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Queens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9E0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11691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61F61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927.137926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B118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BE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8480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A8547C" w:rsidRPr="00DD6A46" w14:paraId="178F9F9A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9C59" w14:textId="78A5A4A1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Brighton B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B0A2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40CC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9504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1C285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-54.082207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6320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914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062C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47C" w:rsidRPr="00DD6A46" w14:paraId="00720492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3B5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92DE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DC4244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Westchester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6E8AB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10573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8CA47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DDAF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5EE2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FBE9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547C" w:rsidRPr="00DD6A46" w14:paraId="7DB157BF" w14:textId="77777777" w:rsidTr="00DD6A46">
        <w:trPr>
          <w:gridAfter w:val="2"/>
          <w:wAfter w:w="1097" w:type="dxa"/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103C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24292E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24292E"/>
                <w:sz w:val="20"/>
                <w:szCs w:val="20"/>
              </w:rPr>
              <w:t>Fordham/Kingsbridge/Univ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944F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56C1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Bronx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0737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10468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D83BA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1120.39854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39A1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C522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75B4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547C" w:rsidRPr="00DD6A46" w14:paraId="1433FE85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708" w14:textId="31139758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ensington/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indsor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errace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AF23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9228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C419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EDC6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-225.18176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50A2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4D9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620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47C" w:rsidRPr="00DD6A46" w14:paraId="199ABF02" w14:textId="77777777" w:rsidTr="00DD6A46">
        <w:trPr>
          <w:gridAfter w:val="2"/>
          <w:wAfter w:w="1097" w:type="dxa"/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E64C" w14:textId="5DE729E6" w:rsidR="00A8547C" w:rsidRPr="00DD6A46" w:rsidRDefault="00EB3560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ergen beach/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  <w:r w:rsidR="00A8547C"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latlands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AB02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2473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1683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A650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-354.45771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5C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97FB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53A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47C" w:rsidRPr="00DD6A46" w14:paraId="0B2A3676" w14:textId="77777777" w:rsidTr="00DD6A46">
        <w:trPr>
          <w:trHeight w:val="3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7B2D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6A2E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E31B8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Nassau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60C80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11590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1A6E3B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A9AC" w14:textId="77777777" w:rsidR="00A8547C" w:rsidRPr="00DD6A46" w:rsidRDefault="00A8547C" w:rsidP="00A85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5F7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CD56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8547C" w:rsidRPr="00DD6A46" w14:paraId="6AF2B39D" w14:textId="77777777" w:rsidTr="00DD6A46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F4A7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95D1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D432D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6DD6E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994C3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A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410.549171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C179" w14:textId="77777777" w:rsidR="00A8547C" w:rsidRPr="00DD6A46" w:rsidRDefault="00A8547C" w:rsidP="00A854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277C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826E" w14:textId="77777777" w:rsidR="00A8547C" w:rsidRPr="00DD6A46" w:rsidRDefault="00A8547C" w:rsidP="00A8547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14:paraId="7BE17F66" w14:textId="77777777" w:rsidR="007B64D1" w:rsidRPr="00DD6A46" w:rsidRDefault="007B64D1">
      <w:pPr>
        <w:rPr>
          <w:rFonts w:ascii="Calibri" w:hAnsi="Calibri" w:cs="Calibri"/>
          <w:b/>
          <w:sz w:val="28"/>
          <w:szCs w:val="28"/>
        </w:rPr>
      </w:pPr>
    </w:p>
    <w:p w14:paraId="14E16584" w14:textId="083F52CC" w:rsidR="00102873" w:rsidRPr="00875235" w:rsidRDefault="007B64D1">
      <w:pPr>
        <w:rPr>
          <w:b/>
          <w:sz w:val="24"/>
          <w:szCs w:val="24"/>
        </w:rPr>
      </w:pPr>
      <w:r w:rsidRPr="00875235">
        <w:rPr>
          <w:b/>
          <w:sz w:val="24"/>
          <w:szCs w:val="24"/>
        </w:rPr>
        <w:t xml:space="preserve">Table </w:t>
      </w:r>
      <w:r w:rsidR="00907C54" w:rsidRPr="00875235">
        <w:rPr>
          <w:b/>
          <w:sz w:val="24"/>
          <w:szCs w:val="24"/>
        </w:rPr>
        <w:t>1: Statistics for targeted zip</w:t>
      </w:r>
      <w:r w:rsidR="00EB3560" w:rsidRPr="00875235">
        <w:rPr>
          <w:b/>
          <w:sz w:val="24"/>
          <w:szCs w:val="24"/>
        </w:rPr>
        <w:t xml:space="preserve"> </w:t>
      </w:r>
      <w:r w:rsidR="00907C54" w:rsidRPr="00875235">
        <w:rPr>
          <w:b/>
          <w:sz w:val="24"/>
          <w:szCs w:val="24"/>
        </w:rPr>
        <w:t>codes in Brooklyn and Queens</w:t>
      </w:r>
    </w:p>
    <w:p w14:paraId="26003D5D" w14:textId="77777777" w:rsidR="007B64D1" w:rsidRDefault="007B64D1">
      <w:pPr>
        <w:rPr>
          <w:b/>
          <w:sz w:val="28"/>
          <w:szCs w:val="28"/>
        </w:rPr>
      </w:pPr>
    </w:p>
    <w:p w14:paraId="723EEC67" w14:textId="77777777" w:rsidR="007B64D1" w:rsidRDefault="007B64D1">
      <w:pPr>
        <w:rPr>
          <w:b/>
          <w:sz w:val="28"/>
          <w:szCs w:val="28"/>
        </w:rPr>
      </w:pPr>
    </w:p>
    <w:p w14:paraId="73002087" w14:textId="77777777" w:rsidR="007B64D1" w:rsidRDefault="007B64D1">
      <w:pPr>
        <w:rPr>
          <w:b/>
          <w:sz w:val="28"/>
          <w:szCs w:val="28"/>
        </w:rPr>
      </w:pPr>
    </w:p>
    <w:p w14:paraId="66ECD7A6" w14:textId="77777777" w:rsidR="007B64D1" w:rsidRDefault="007B64D1">
      <w:pPr>
        <w:rPr>
          <w:b/>
          <w:sz w:val="28"/>
          <w:szCs w:val="28"/>
        </w:rPr>
      </w:pPr>
    </w:p>
    <w:p w14:paraId="2719D7D8" w14:textId="692E4BDF" w:rsidR="00D73408" w:rsidRDefault="00D73408">
      <w:pPr>
        <w:rPr>
          <w:b/>
          <w:sz w:val="28"/>
          <w:szCs w:val="28"/>
        </w:rPr>
      </w:pPr>
    </w:p>
    <w:p w14:paraId="302198E8" w14:textId="13F3CF88" w:rsidR="00CA164B" w:rsidRDefault="00CA164B">
      <w:pPr>
        <w:rPr>
          <w:b/>
          <w:sz w:val="28"/>
          <w:szCs w:val="28"/>
        </w:rPr>
      </w:pPr>
    </w:p>
    <w:p w14:paraId="0B6D4051" w14:textId="794927D5" w:rsidR="00CA164B" w:rsidRDefault="00CA164B">
      <w:pPr>
        <w:rPr>
          <w:b/>
          <w:sz w:val="28"/>
          <w:szCs w:val="28"/>
        </w:rPr>
      </w:pPr>
    </w:p>
    <w:p w14:paraId="068A105E" w14:textId="7F715EAA" w:rsidR="00CA164B" w:rsidRDefault="00CA164B">
      <w:pPr>
        <w:rPr>
          <w:b/>
          <w:sz w:val="28"/>
          <w:szCs w:val="28"/>
        </w:rPr>
      </w:pPr>
    </w:p>
    <w:p w14:paraId="3B49A49B" w14:textId="77777777" w:rsidR="00875235" w:rsidRDefault="00875235">
      <w:pPr>
        <w:rPr>
          <w:b/>
          <w:sz w:val="28"/>
          <w:szCs w:val="28"/>
        </w:rPr>
      </w:pPr>
    </w:p>
    <w:p w14:paraId="75269D87" w14:textId="77777777" w:rsidR="00CA164B" w:rsidRDefault="00CA164B">
      <w:pPr>
        <w:rPr>
          <w:b/>
          <w:sz w:val="28"/>
          <w:szCs w:val="28"/>
        </w:rPr>
      </w:pPr>
    </w:p>
    <w:p w14:paraId="257A3976" w14:textId="77777777" w:rsidR="00D73408" w:rsidRDefault="00D7340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Main Results:</w:t>
      </w:r>
    </w:p>
    <w:p w14:paraId="5CFB1BFD" w14:textId="42771584" w:rsidR="00D73408" w:rsidRDefault="00D73408" w:rsidP="00D73408">
      <w:pPr>
        <w:pStyle w:val="ListParagraph"/>
        <w:numPr>
          <w:ilvl w:val="0"/>
          <w:numId w:val="1"/>
        </w:numPr>
      </w:pPr>
      <w:r w:rsidRPr="00D73408">
        <w:t xml:space="preserve">NYC and NY State </w:t>
      </w:r>
      <w:r>
        <w:t>are monitoring the “positivity rate” in var</w:t>
      </w:r>
      <w:r w:rsidR="008A2940">
        <w:t>ious zip</w:t>
      </w:r>
      <w:r w:rsidR="00EB3560">
        <w:t xml:space="preserve"> </w:t>
      </w:r>
      <w:r w:rsidR="008A2940">
        <w:t>codes.</w:t>
      </w:r>
      <w:r w:rsidR="00DD6A46">
        <w:t xml:space="preserve"> </w:t>
      </w:r>
      <w:r w:rsidR="008A2940">
        <w:t>They</w:t>
      </w:r>
      <w:r>
        <w:t xml:space="preserve"> have identified 12 zip</w:t>
      </w:r>
      <w:r w:rsidR="008A2940">
        <w:t xml:space="preserve"> </w:t>
      </w:r>
      <w:r>
        <w:t>codes within Brooklyn and Queens with a p</w:t>
      </w:r>
      <w:r w:rsidR="008A2940">
        <w:t xml:space="preserve">ositivity rate </w:t>
      </w:r>
      <w:proofErr w:type="gramStart"/>
      <w:r w:rsidR="008A2940">
        <w:t>in excess of</w:t>
      </w:r>
      <w:proofErr w:type="gramEnd"/>
      <w:r w:rsidR="008A2940">
        <w:t xml:space="preserve"> 3%.</w:t>
      </w:r>
    </w:p>
    <w:p w14:paraId="286D94A0" w14:textId="0058015A" w:rsidR="00892030" w:rsidRDefault="008A2940" w:rsidP="00D73408">
      <w:pPr>
        <w:pStyle w:val="ListParagraph"/>
        <w:numPr>
          <w:ilvl w:val="0"/>
          <w:numId w:val="1"/>
        </w:numPr>
      </w:pPr>
      <w:r>
        <w:t>The positivity rate is a</w:t>
      </w:r>
      <w:r w:rsidRPr="00892030">
        <w:rPr>
          <w:i/>
        </w:rPr>
        <w:t xml:space="preserve"> poor</w:t>
      </w:r>
      <w:r>
        <w:t xml:space="preserve"> measure to characterize the intensity of the pandemic. In some neighborhoods/zip codes</w:t>
      </w:r>
      <w:r w:rsidR="00892030">
        <w:t>, the population has the time</w:t>
      </w:r>
      <w:r>
        <w:t>, access</w:t>
      </w:r>
      <w:r w:rsidR="00DD6A46">
        <w:t>,</w:t>
      </w:r>
      <w:r>
        <w:t xml:space="preserve"> and cultural inclination to get tested</w:t>
      </w:r>
      <w:r w:rsidR="00DD6A46">
        <w:t>,</w:t>
      </w:r>
      <w:r>
        <w:t xml:space="preserve"> either routinely or at the onset of the slightest symptoms, potentially associated with COVID19, along with many other possibilities</w:t>
      </w:r>
      <w:r w:rsidR="00DD6A46">
        <w:t>.</w:t>
      </w:r>
      <w:r>
        <w:t xml:space="preserve"> </w:t>
      </w:r>
    </w:p>
    <w:p w14:paraId="0EEB7E31" w14:textId="5521F06C" w:rsidR="008A2940" w:rsidRDefault="008A2940" w:rsidP="00D73408">
      <w:pPr>
        <w:pStyle w:val="ListParagraph"/>
        <w:numPr>
          <w:ilvl w:val="0"/>
          <w:numId w:val="1"/>
        </w:numPr>
      </w:pPr>
      <w:r>
        <w:t>In other zip</w:t>
      </w:r>
      <w:r w:rsidR="00EB3560">
        <w:t xml:space="preserve"> </w:t>
      </w:r>
      <w:r>
        <w:t xml:space="preserve">codes, individuals </w:t>
      </w:r>
      <w:r w:rsidR="00892030">
        <w:t>lack the time, access</w:t>
      </w:r>
      <w:r w:rsidR="00DD6A46">
        <w:t>,</w:t>
      </w:r>
      <w:r w:rsidR="00892030">
        <w:t xml:space="preserve"> or cultural inclination to do frequent testing; many need to work away from home for long hours or have large families to attend to. In such areas</w:t>
      </w:r>
      <w:r w:rsidR="00DD6A46">
        <w:t>.</w:t>
      </w:r>
      <w:r w:rsidR="00892030">
        <w:t xml:space="preserve"> individuals </w:t>
      </w:r>
      <w:r w:rsidR="00DD6A46">
        <w:t xml:space="preserve">get </w:t>
      </w:r>
      <w:r w:rsidR="00892030">
        <w:t xml:space="preserve">tested </w:t>
      </w:r>
      <w:r w:rsidR="00DD6A46">
        <w:t>only w</w:t>
      </w:r>
      <w:r w:rsidR="00892030">
        <w:t>hen they have significant symptoms. In this category of zip</w:t>
      </w:r>
      <w:r w:rsidR="00EB3560">
        <w:t xml:space="preserve"> </w:t>
      </w:r>
      <w:r w:rsidR="00892030">
        <w:t>codes, positivity rates will be relatively high, not because the pandemic is more prevalent, but simply because of the far larger selectivity a</w:t>
      </w:r>
      <w:r w:rsidR="00DD6A46">
        <w:t>m</w:t>
      </w:r>
      <w:r w:rsidR="00892030">
        <w:t>ong the test seekers.</w:t>
      </w:r>
    </w:p>
    <w:p w14:paraId="7B54DCE3" w14:textId="7F290409" w:rsidR="00892030" w:rsidRPr="00EE3AC5" w:rsidRDefault="00892030" w:rsidP="00EE3AC5">
      <w:pPr>
        <w:pStyle w:val="ListParagraph"/>
        <w:numPr>
          <w:ilvl w:val="0"/>
          <w:numId w:val="1"/>
        </w:numPr>
        <w:rPr>
          <w:i/>
        </w:rPr>
      </w:pPr>
      <w:r>
        <w:t>From the onset of the pandemic in February,</w:t>
      </w:r>
      <w:r w:rsidR="00DD6A46">
        <w:t xml:space="preserve"> </w:t>
      </w:r>
      <w:r>
        <w:t>health organizations have monitored the daily “</w:t>
      </w:r>
      <w:r w:rsidRPr="00892030">
        <w:rPr>
          <w:i/>
        </w:rPr>
        <w:t>case incidence rate</w:t>
      </w:r>
      <w:r w:rsidR="00DD6A46">
        <w:rPr>
          <w:i/>
        </w:rPr>
        <w:t>,</w:t>
      </w:r>
      <w:r w:rsidRPr="00892030">
        <w:rPr>
          <w:i/>
        </w:rPr>
        <w:t>”</w:t>
      </w:r>
      <w:r>
        <w:rPr>
          <w:i/>
        </w:rPr>
        <w:t xml:space="preserve"> </w:t>
      </w:r>
      <w:r>
        <w:t>defined as the per</w:t>
      </w:r>
      <w:r w:rsidR="00DD6A46">
        <w:t>-</w:t>
      </w:r>
      <w:r>
        <w:t>capita number of newly confirmed cases. This measure has its limitations</w:t>
      </w:r>
      <w:r w:rsidR="00EB3560">
        <w:t>,</w:t>
      </w:r>
      <w:r>
        <w:t xml:space="preserve"> as well</w:t>
      </w:r>
      <w:r w:rsidR="00B6719F">
        <w:t xml:space="preserve">; it ignores individuals </w:t>
      </w:r>
      <w:r w:rsidR="00EB3560">
        <w:t xml:space="preserve">who </w:t>
      </w:r>
      <w:r w:rsidR="00B6719F">
        <w:t>ar</w:t>
      </w:r>
      <w:r w:rsidR="00DD6A46">
        <w:t>e</w:t>
      </w:r>
      <w:r w:rsidR="00B6719F">
        <w:t xml:space="preserve"> both asymptomatic and untested</w:t>
      </w:r>
      <w:r w:rsidR="00EB3560">
        <w:t>, for example</w:t>
      </w:r>
      <w:r w:rsidR="00B6719F">
        <w:t xml:space="preserve">. </w:t>
      </w:r>
      <w:r w:rsidR="00DD6A46">
        <w:t>It is</w:t>
      </w:r>
      <w:r w:rsidR="00EB3560">
        <w:t>,</w:t>
      </w:r>
      <w:r w:rsidR="00DD6A46">
        <w:t xml:space="preserve"> however</w:t>
      </w:r>
      <w:r w:rsidR="00EB3560">
        <w:t>,</w:t>
      </w:r>
      <w:r w:rsidR="00DD6A46">
        <w:t xml:space="preserve"> immune</w:t>
      </w:r>
      <w:r w:rsidR="00B6719F">
        <w:t xml:space="preserve"> to the above</w:t>
      </w:r>
      <w:r w:rsidR="00DD6A46">
        <w:t>-mentioned</w:t>
      </w:r>
      <w:r w:rsidR="00B6719F">
        <w:t xml:space="preserve"> obvious and major selectivity biases.</w:t>
      </w:r>
      <w:r w:rsidR="00EE3AC5">
        <w:t xml:space="preserve"> S</w:t>
      </w:r>
      <w:r w:rsidR="00DD6A46">
        <w:t>ee</w:t>
      </w:r>
      <w:r w:rsidR="00EE3AC5">
        <w:t xml:space="preserve"> for example the CDC COVID19 Data Tracker</w:t>
      </w:r>
      <w:r w:rsidR="00EB3560">
        <w:t>:</w:t>
      </w:r>
      <w:r w:rsidR="00EE3AC5">
        <w:t xml:space="preserve"> </w:t>
      </w:r>
      <w:hyperlink r:id="rId7" w:anchor="county-map" w:history="1">
        <w:r w:rsidR="00EE3AC5" w:rsidRPr="00DC06A1">
          <w:rPr>
            <w:rStyle w:val="Hyperlink"/>
          </w:rPr>
          <w:t>https://covid.cdc.gov/covid-data-tracker/#county-map</w:t>
        </w:r>
      </w:hyperlink>
      <w:r w:rsidR="00EE3AC5">
        <w:t>.</w:t>
      </w:r>
    </w:p>
    <w:p w14:paraId="01AAEE6C" w14:textId="586CA847" w:rsidR="0084485F" w:rsidRPr="00EB3560" w:rsidRDefault="00EE3AC5" w:rsidP="00EE3AC5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t xml:space="preserve">It is inappropriate to compare the </w:t>
      </w:r>
      <w:r>
        <w:rPr>
          <w:b/>
        </w:rPr>
        <w:t xml:space="preserve">absolute </w:t>
      </w:r>
      <w:r w:rsidRPr="00EE3AC5">
        <w:t>incidence rates</w:t>
      </w:r>
      <w:r>
        <w:t xml:space="preserve"> across </w:t>
      </w:r>
      <w:proofErr w:type="spellStart"/>
      <w:r>
        <w:t>zipcodes</w:t>
      </w:r>
      <w:proofErr w:type="spellEnd"/>
      <w:proofErr w:type="gramStart"/>
      <w:r>
        <w:t>, in particular</w:t>
      </w:r>
      <w:r w:rsidR="00EB3560">
        <w:t>,</w:t>
      </w:r>
      <w:r>
        <w:t xml:space="preserve"> when</w:t>
      </w:r>
      <w:proofErr w:type="gramEnd"/>
      <w:r>
        <w:t xml:space="preserve"> attributing variations to better or inferior compliance with safety precautions such as social distancing and mask wearing.   Differences in demographic and socioeconomic</w:t>
      </w:r>
      <w:r w:rsidR="00EB3560">
        <w:t xml:space="preserve"> factors</w:t>
      </w:r>
      <w:r>
        <w:t xml:space="preserve"> </w:t>
      </w:r>
      <w:proofErr w:type="gramStart"/>
      <w:r>
        <w:t xml:space="preserve">have </w:t>
      </w:r>
      <w:r w:rsidRPr="00EB3560">
        <w:rPr>
          <w:rFonts w:cstheme="minorHAnsi"/>
        </w:rPr>
        <w:t>to</w:t>
      </w:r>
      <w:proofErr w:type="gramEnd"/>
      <w:r w:rsidRPr="00EB3560">
        <w:rPr>
          <w:rFonts w:cstheme="minorHAnsi"/>
        </w:rPr>
        <w:t xml:space="preserve"> be accounted for. </w:t>
      </w:r>
      <w:proofErr w:type="spellStart"/>
      <w:r w:rsidRPr="00EB3560">
        <w:rPr>
          <w:rFonts w:cstheme="minorHAnsi"/>
        </w:rPr>
        <w:t>Federgruen</w:t>
      </w:r>
      <w:proofErr w:type="spellEnd"/>
      <w:r w:rsidRPr="00EB3560">
        <w:rPr>
          <w:rFonts w:cstheme="minorHAnsi"/>
        </w:rPr>
        <w:t xml:space="preserve"> and Naha (2020) provide a systematic methodology for this accounting using standard regression analyses, see</w:t>
      </w:r>
      <w:r w:rsidR="0084485F" w:rsidRPr="00EB3560">
        <w:rPr>
          <w:rFonts w:cstheme="minorHAnsi"/>
        </w:rPr>
        <w:t xml:space="preserve">: </w:t>
      </w:r>
      <w:hyperlink r:id="rId8" w:tgtFrame="_blank" w:history="1">
        <w:r w:rsidR="0084485F" w:rsidRPr="00EB3560">
          <w:rPr>
            <w:rStyle w:val="Hyperlink"/>
            <w:rFonts w:cstheme="minorHAnsi"/>
          </w:rPr>
          <w:t>https://medrxiv.org/cgi/content/short/2020.05.25.20112797v1</w:t>
        </w:r>
      </w:hyperlink>
    </w:p>
    <w:p w14:paraId="767D22BB" w14:textId="6B8255CF" w:rsidR="00972831" w:rsidRPr="00EB3560" w:rsidRDefault="0084485F" w:rsidP="00DD6A46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EB3560">
        <w:rPr>
          <w:rFonts w:cstheme="minorHAnsi"/>
        </w:rPr>
        <w:t>The primary socioeconomic and demogra</w:t>
      </w:r>
      <w:r w:rsidR="00EB3560">
        <w:rPr>
          <w:rFonts w:cstheme="minorHAnsi"/>
        </w:rPr>
        <w:t>p</w:t>
      </w:r>
      <w:r w:rsidRPr="00EB3560">
        <w:rPr>
          <w:rFonts w:cstheme="minorHAnsi"/>
        </w:rPr>
        <w:t>hic factors th</w:t>
      </w:r>
      <w:r w:rsidR="008C6FAB" w:rsidRPr="00EB3560">
        <w:rPr>
          <w:rFonts w:cstheme="minorHAnsi"/>
        </w:rPr>
        <w:t>a</w:t>
      </w:r>
      <w:r w:rsidRPr="00EB3560">
        <w:rPr>
          <w:rFonts w:cstheme="minorHAnsi"/>
        </w:rPr>
        <w:t>t need to be accounted for are average household size, percentage of the population below the poverty line</w:t>
      </w:r>
      <w:r w:rsidR="00EB3560">
        <w:rPr>
          <w:rFonts w:cstheme="minorHAnsi"/>
        </w:rPr>
        <w:t>,</w:t>
      </w:r>
      <w:r w:rsidRPr="00EB3560">
        <w:rPr>
          <w:rFonts w:cstheme="minorHAnsi"/>
        </w:rPr>
        <w:t xml:space="preserve"> and percentage of the population above t</w:t>
      </w:r>
      <w:r w:rsidR="00EB3560">
        <w:rPr>
          <w:rFonts w:cstheme="minorHAnsi"/>
        </w:rPr>
        <w:t>h</w:t>
      </w:r>
      <w:r w:rsidRPr="00EB3560">
        <w:rPr>
          <w:rFonts w:cstheme="minorHAnsi"/>
        </w:rPr>
        <w:t>e age of 65.</w:t>
      </w:r>
      <w:r w:rsidR="00EE3AC5" w:rsidRPr="00EB3560">
        <w:rPr>
          <w:rFonts w:cstheme="minorHAnsi"/>
        </w:rPr>
        <w:t xml:space="preserve"> </w:t>
      </w:r>
    </w:p>
    <w:p w14:paraId="39AA53EC" w14:textId="620B897E" w:rsidR="0084485F" w:rsidRPr="0084485F" w:rsidRDefault="0084485F" w:rsidP="00EE3AC5">
      <w:pPr>
        <w:pStyle w:val="ListParagraph"/>
        <w:numPr>
          <w:ilvl w:val="0"/>
          <w:numId w:val="1"/>
        </w:numPr>
        <w:rPr>
          <w:i/>
        </w:rPr>
      </w:pPr>
      <w:r w:rsidRPr="00EB3560">
        <w:rPr>
          <w:rFonts w:cstheme="minorHAnsi"/>
        </w:rPr>
        <w:t>We</w:t>
      </w:r>
      <w:r w:rsidR="008C6FAB" w:rsidRPr="00EB3560">
        <w:rPr>
          <w:rFonts w:cstheme="minorHAnsi"/>
        </w:rPr>
        <w:t xml:space="preserve"> have rerun our models for the</w:t>
      </w:r>
      <w:r w:rsidRPr="00EB3560">
        <w:rPr>
          <w:rFonts w:cstheme="minorHAnsi"/>
        </w:rPr>
        <w:t xml:space="preserve"> data pertaining to the last weeks in September, takin</w:t>
      </w:r>
      <w:r w:rsidR="00EB3560">
        <w:rPr>
          <w:rFonts w:cstheme="minorHAnsi"/>
        </w:rPr>
        <w:t>g</w:t>
      </w:r>
      <w:r w:rsidRPr="00EB3560">
        <w:rPr>
          <w:rFonts w:cstheme="minorHAnsi"/>
        </w:rPr>
        <w:t xml:space="preserve"> three snapshots</w:t>
      </w:r>
      <w:r w:rsidR="00EB3560">
        <w:rPr>
          <w:rFonts w:cstheme="minorHAnsi"/>
        </w:rPr>
        <w:t xml:space="preserve"> spaced</w:t>
      </w:r>
      <w:r w:rsidRPr="00EB3560">
        <w:rPr>
          <w:rFonts w:cstheme="minorHAnsi"/>
        </w:rPr>
        <w:t xml:space="preserve"> a week apart </w:t>
      </w:r>
      <w:r w:rsidR="00EB3560">
        <w:rPr>
          <w:rFonts w:cstheme="minorHAnsi"/>
        </w:rPr>
        <w:t>(S</w:t>
      </w:r>
      <w:r w:rsidRPr="00EB3560">
        <w:rPr>
          <w:rFonts w:cstheme="minorHAnsi"/>
        </w:rPr>
        <w:t>ept</w:t>
      </w:r>
      <w:r w:rsidR="00EB3560">
        <w:rPr>
          <w:rFonts w:cstheme="minorHAnsi"/>
        </w:rPr>
        <w:t>.</w:t>
      </w:r>
      <w:r w:rsidRPr="00EB3560">
        <w:rPr>
          <w:rFonts w:cstheme="minorHAnsi"/>
        </w:rPr>
        <w:t xml:space="preserve"> 15, </w:t>
      </w:r>
      <w:r w:rsidR="00EB3560">
        <w:rPr>
          <w:rFonts w:cstheme="minorHAnsi"/>
        </w:rPr>
        <w:t>S</w:t>
      </w:r>
      <w:r w:rsidRPr="00EB3560">
        <w:rPr>
          <w:rFonts w:cstheme="minorHAnsi"/>
        </w:rPr>
        <w:t>ept</w:t>
      </w:r>
      <w:r w:rsidR="00EB3560">
        <w:rPr>
          <w:rFonts w:cstheme="minorHAnsi"/>
        </w:rPr>
        <w:t xml:space="preserve">. </w:t>
      </w:r>
      <w:r w:rsidRPr="00EB3560">
        <w:rPr>
          <w:rFonts w:cstheme="minorHAnsi"/>
        </w:rPr>
        <w:t xml:space="preserve">22, </w:t>
      </w:r>
      <w:r w:rsidR="00EB3560">
        <w:rPr>
          <w:rFonts w:cstheme="minorHAnsi"/>
        </w:rPr>
        <w:t>S</w:t>
      </w:r>
      <w:r w:rsidRPr="00EB3560">
        <w:rPr>
          <w:rFonts w:cstheme="minorHAnsi"/>
        </w:rPr>
        <w:t>ept</w:t>
      </w:r>
      <w:r w:rsidR="00EB3560">
        <w:rPr>
          <w:rFonts w:cstheme="minorHAnsi"/>
        </w:rPr>
        <w:t>.</w:t>
      </w:r>
      <w:r w:rsidRPr="00EB3560">
        <w:rPr>
          <w:rFonts w:cstheme="minorHAnsi"/>
        </w:rPr>
        <w:t xml:space="preserve"> 29).</w:t>
      </w:r>
      <w:r w:rsidR="00EB3560">
        <w:rPr>
          <w:rFonts w:cstheme="minorHAnsi"/>
        </w:rPr>
        <w:t xml:space="preserve"> </w:t>
      </w:r>
      <w:r w:rsidRPr="00EB3560">
        <w:rPr>
          <w:rFonts w:cstheme="minorHAnsi"/>
        </w:rPr>
        <w:t>Table 1 above displays the re</w:t>
      </w:r>
      <w:r w:rsidR="00EB3560">
        <w:rPr>
          <w:rFonts w:cstheme="minorHAnsi"/>
        </w:rPr>
        <w:t>s</w:t>
      </w:r>
      <w:r w:rsidRPr="00EB3560">
        <w:rPr>
          <w:rFonts w:cstheme="minorHAnsi"/>
        </w:rPr>
        <w:t>idual values of the incidence rates per</w:t>
      </w:r>
      <w:r w:rsidR="00EB3560">
        <w:rPr>
          <w:rFonts w:cstheme="minorHAnsi"/>
        </w:rPr>
        <w:t xml:space="preserve"> </w:t>
      </w:r>
      <w:r w:rsidRPr="00EB3560">
        <w:rPr>
          <w:rFonts w:cstheme="minorHAnsi"/>
        </w:rPr>
        <w:t>100,000 residents, i.e., the difference between the observed rates and the rates that should be expec</w:t>
      </w:r>
      <w:r w:rsidR="008C6FAB" w:rsidRPr="00EB3560">
        <w:rPr>
          <w:rFonts w:cstheme="minorHAnsi"/>
        </w:rPr>
        <w:t xml:space="preserve">ted </w:t>
      </w:r>
      <w:r w:rsidRPr="00EB3560">
        <w:rPr>
          <w:rFonts w:cstheme="minorHAnsi"/>
        </w:rPr>
        <w:t>based</w:t>
      </w:r>
      <w:r w:rsidR="008C6FAB" w:rsidRPr="00EB3560">
        <w:rPr>
          <w:rFonts w:cstheme="minorHAnsi"/>
        </w:rPr>
        <w:t xml:space="preserve"> </w:t>
      </w:r>
      <w:r w:rsidRPr="00EB3560">
        <w:rPr>
          <w:rFonts w:cstheme="minorHAnsi"/>
        </w:rPr>
        <w:t>on the socioeconomic and demographic attributes of the zip</w:t>
      </w:r>
      <w:r w:rsidR="00EB3560">
        <w:rPr>
          <w:rFonts w:cstheme="minorHAnsi"/>
        </w:rPr>
        <w:t xml:space="preserve"> </w:t>
      </w:r>
      <w:r w:rsidRPr="00EB3560">
        <w:rPr>
          <w:rFonts w:cstheme="minorHAnsi"/>
        </w:rPr>
        <w:t xml:space="preserve">codes. </w:t>
      </w:r>
      <w:r w:rsidRPr="00EB3560">
        <w:rPr>
          <w:rFonts w:cstheme="minorHAnsi"/>
          <w:i/>
        </w:rPr>
        <w:t xml:space="preserve">Positive </w:t>
      </w:r>
      <w:r w:rsidRPr="00EB3560">
        <w:rPr>
          <w:rFonts w:cstheme="minorHAnsi"/>
        </w:rPr>
        <w:t>residuals</w:t>
      </w:r>
      <w:r>
        <w:t xml:space="preserve"> indicate that the zip</w:t>
      </w:r>
      <w:r w:rsidR="008C6FAB">
        <w:t xml:space="preserve"> </w:t>
      </w:r>
      <w:r>
        <w:t>codes had a larger incidence rate than it should have based on its socioeconomic/demographic characteristics; conversely,</w:t>
      </w:r>
      <w:r w:rsidRPr="0084485F">
        <w:rPr>
          <w:i/>
        </w:rPr>
        <w:t xml:space="preserve"> negative</w:t>
      </w:r>
      <w:r>
        <w:rPr>
          <w:i/>
        </w:rPr>
        <w:t xml:space="preserve"> </w:t>
      </w:r>
      <w:r w:rsidR="008C6FAB">
        <w:t>residuals</w:t>
      </w:r>
      <w:r>
        <w:rPr>
          <w:i/>
        </w:rPr>
        <w:t xml:space="preserve"> </w:t>
      </w:r>
      <w:r>
        <w:t>indicate better performance than what can be expected.</w:t>
      </w:r>
    </w:p>
    <w:p w14:paraId="56626577" w14:textId="77777777" w:rsidR="008C6FAB" w:rsidRPr="008C6FAB" w:rsidRDefault="0084485F" w:rsidP="00EE3AC5">
      <w:pPr>
        <w:pStyle w:val="ListParagraph"/>
        <w:numPr>
          <w:ilvl w:val="0"/>
          <w:numId w:val="1"/>
        </w:numPr>
        <w:rPr>
          <w:i/>
        </w:rPr>
      </w:pPr>
      <w:r>
        <w:t>Here are our main</w:t>
      </w:r>
      <w:r w:rsidR="008C6FAB">
        <w:t xml:space="preserve"> </w:t>
      </w:r>
      <w:r>
        <w:t>conclusion</w:t>
      </w:r>
      <w:r w:rsidR="008C6FAB">
        <w:t>s:</w:t>
      </w:r>
    </w:p>
    <w:p w14:paraId="17DB732E" w14:textId="77777777" w:rsidR="0084485F" w:rsidRPr="008C6FAB" w:rsidRDefault="0084485F" w:rsidP="00EE3AC5">
      <w:pPr>
        <w:pStyle w:val="ListParagraph"/>
        <w:numPr>
          <w:ilvl w:val="0"/>
          <w:numId w:val="1"/>
        </w:numPr>
        <w:rPr>
          <w:i/>
        </w:rPr>
      </w:pPr>
      <w:r>
        <w:t xml:space="preserve"> </w:t>
      </w:r>
      <w:r w:rsidR="008C6FAB" w:rsidRPr="008C6FAB">
        <w:rPr>
          <w:b/>
        </w:rPr>
        <w:t>Eight of the 12 targeted zip</w:t>
      </w:r>
      <w:r w:rsidR="008C6FAB">
        <w:rPr>
          <w:b/>
        </w:rPr>
        <w:t xml:space="preserve"> </w:t>
      </w:r>
      <w:r w:rsidR="008C6FAB" w:rsidRPr="008C6FAB">
        <w:rPr>
          <w:b/>
        </w:rPr>
        <w:t>codes</w:t>
      </w:r>
      <w:r w:rsidR="008C6FAB">
        <w:rPr>
          <w:b/>
        </w:rPr>
        <w:t xml:space="preserve"> showed better than citywide performance on all three of the tested dates. </w:t>
      </w:r>
    </w:p>
    <w:p w14:paraId="58DE633B" w14:textId="35EF0C79" w:rsidR="008C6FAB" w:rsidRPr="008C6FAB" w:rsidRDefault="008C6FAB" w:rsidP="00EE3AC5">
      <w:pPr>
        <w:pStyle w:val="ListParagraph"/>
        <w:numPr>
          <w:ilvl w:val="0"/>
          <w:numId w:val="1"/>
        </w:numPr>
        <w:rPr>
          <w:i/>
        </w:rPr>
      </w:pPr>
      <w:r>
        <w:rPr>
          <w:b/>
        </w:rPr>
        <w:t xml:space="preserve">Only </w:t>
      </w:r>
      <w:r w:rsidR="00EB3560">
        <w:rPr>
          <w:b/>
        </w:rPr>
        <w:t>three</w:t>
      </w:r>
      <w:r>
        <w:rPr>
          <w:b/>
        </w:rPr>
        <w:t xml:space="preserve"> zip codes experienced more severe incidence rates than what should be expected (on each of the </w:t>
      </w:r>
      <w:r w:rsidR="00EB3560">
        <w:rPr>
          <w:b/>
        </w:rPr>
        <w:t>three</w:t>
      </w:r>
      <w:r>
        <w:rPr>
          <w:b/>
        </w:rPr>
        <w:t xml:space="preserve"> target dates): Rego Park, Far Rockaway and Flatlands/ Midwood.</w:t>
      </w:r>
    </w:p>
    <w:p w14:paraId="0A19C2D1" w14:textId="03248F35" w:rsidR="00D73408" w:rsidRPr="00DD6A46" w:rsidRDefault="008C6FAB" w:rsidP="00DD6A46">
      <w:pPr>
        <w:pStyle w:val="ListParagraph"/>
        <w:numPr>
          <w:ilvl w:val="0"/>
          <w:numId w:val="1"/>
        </w:numPr>
        <w:rPr>
          <w:i/>
        </w:rPr>
      </w:pPr>
      <w:r>
        <w:rPr>
          <w:b/>
        </w:rPr>
        <w:t>Not surpris</w:t>
      </w:r>
      <w:r w:rsidR="007B64D1">
        <w:rPr>
          <w:b/>
        </w:rPr>
        <w:t xml:space="preserve">ingly, there </w:t>
      </w:r>
      <w:r w:rsidR="00EB3560">
        <w:rPr>
          <w:b/>
        </w:rPr>
        <w:t>are a</w:t>
      </w:r>
      <w:r w:rsidR="007B64D1">
        <w:rPr>
          <w:b/>
        </w:rPr>
        <w:t xml:space="preserve"> total of 81</w:t>
      </w:r>
      <w:r>
        <w:rPr>
          <w:b/>
        </w:rPr>
        <w:t xml:space="preserve"> zip</w:t>
      </w:r>
      <w:r w:rsidR="00972831">
        <w:rPr>
          <w:b/>
        </w:rPr>
        <w:t xml:space="preserve"> </w:t>
      </w:r>
      <w:r>
        <w:rPr>
          <w:b/>
        </w:rPr>
        <w:t xml:space="preserve">codes with </w:t>
      </w:r>
      <w:r w:rsidR="00972831">
        <w:rPr>
          <w:b/>
        </w:rPr>
        <w:t xml:space="preserve">a </w:t>
      </w:r>
      <w:r>
        <w:rPr>
          <w:b/>
        </w:rPr>
        <w:t xml:space="preserve">higher than </w:t>
      </w:r>
      <w:r w:rsidR="00972831">
        <w:rPr>
          <w:b/>
        </w:rPr>
        <w:t>expected incidence rate</w:t>
      </w:r>
      <w:r w:rsidR="007B64D1">
        <w:rPr>
          <w:b/>
        </w:rPr>
        <w:t xml:space="preserve"> on sept </w:t>
      </w:r>
      <w:proofErr w:type="gramStart"/>
      <w:r w:rsidR="007B64D1">
        <w:rPr>
          <w:b/>
        </w:rPr>
        <w:t>29,  beyond</w:t>
      </w:r>
      <w:proofErr w:type="gramEnd"/>
      <w:r w:rsidR="007B64D1">
        <w:rPr>
          <w:b/>
        </w:rPr>
        <w:t xml:space="preserve"> the </w:t>
      </w:r>
      <w:r w:rsidR="00EB3560">
        <w:rPr>
          <w:b/>
        </w:rPr>
        <w:t>four</w:t>
      </w:r>
      <w:r w:rsidR="007B64D1">
        <w:rPr>
          <w:b/>
        </w:rPr>
        <w:t xml:space="preserve"> targeted by NYC  and NYS.</w:t>
      </w:r>
      <w:r w:rsidR="00972831">
        <w:rPr>
          <w:b/>
        </w:rPr>
        <w:t xml:space="preserve"> (Similar numbers prevail on the other two test dates.)</w:t>
      </w:r>
    </w:p>
    <w:sectPr w:rsidR="00D73408" w:rsidRPr="00DD6A46" w:rsidSect="00DD6A4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1A4C6" w14:textId="77777777" w:rsidR="00960236" w:rsidRDefault="00960236" w:rsidP="007B64D1">
      <w:pPr>
        <w:spacing w:after="0" w:line="240" w:lineRule="auto"/>
      </w:pPr>
      <w:r>
        <w:separator/>
      </w:r>
    </w:p>
  </w:endnote>
  <w:endnote w:type="continuationSeparator" w:id="0">
    <w:p w14:paraId="5BB0AEC1" w14:textId="77777777" w:rsidR="00960236" w:rsidRDefault="00960236" w:rsidP="007B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585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863D9" w14:textId="77777777" w:rsidR="007B64D1" w:rsidRDefault="007B64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5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8B6ED8" w14:textId="77777777" w:rsidR="007B64D1" w:rsidRDefault="007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7D7F8" w14:textId="77777777" w:rsidR="00960236" w:rsidRDefault="00960236" w:rsidP="007B64D1">
      <w:pPr>
        <w:spacing w:after="0" w:line="240" w:lineRule="auto"/>
      </w:pPr>
      <w:r>
        <w:separator/>
      </w:r>
    </w:p>
  </w:footnote>
  <w:footnote w:type="continuationSeparator" w:id="0">
    <w:p w14:paraId="3DB60225" w14:textId="77777777" w:rsidR="00960236" w:rsidRDefault="00960236" w:rsidP="007B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9C5DC" w14:textId="6D2EEDD2" w:rsidR="007B64D1" w:rsidRDefault="007B64D1" w:rsidP="00CA164B">
    <w:pPr>
      <w:pStyle w:val="Header"/>
    </w:pPr>
    <w:r>
      <w:t>COVID</w:t>
    </w:r>
    <w:r w:rsidR="00DD6A46">
      <w:t>19</w:t>
    </w:r>
    <w:r>
      <w:t xml:space="preserve"> INCIDENCE RATES IN TARGETED ZIP</w:t>
    </w:r>
    <w:r w:rsidR="00EB3560">
      <w:t xml:space="preserve"> </w:t>
    </w:r>
    <w:r>
      <w:t>CODES NYC</w:t>
    </w:r>
    <w:r w:rsidR="00CA164B">
      <w:t xml:space="preserve">  </w:t>
    </w:r>
    <w:r w:rsidR="00CA164B">
      <w:br/>
      <w:t xml:space="preserve">by </w:t>
    </w:r>
    <w:proofErr w:type="spellStart"/>
    <w:r w:rsidR="00CA164B">
      <w:t>Awi</w:t>
    </w:r>
    <w:proofErr w:type="spellEnd"/>
    <w:r w:rsidR="00CA164B">
      <w:t xml:space="preserve"> </w:t>
    </w:r>
    <w:proofErr w:type="spellStart"/>
    <w:r w:rsidR="00CA164B">
      <w:t>Federgruen</w:t>
    </w:r>
    <w:proofErr w:type="spellEnd"/>
    <w:r w:rsidR="00CA164B">
      <w:t>, Columbia University Graduate School of Business, October 7, 2020</w:t>
    </w:r>
    <w:r w:rsidR="00CA164B">
      <w:tab/>
    </w:r>
  </w:p>
  <w:p w14:paraId="1D087977" w14:textId="77777777" w:rsidR="007B64D1" w:rsidRDefault="007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623F2"/>
    <w:multiLevelType w:val="hybridMultilevel"/>
    <w:tmpl w:val="8022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A1"/>
    <w:rsid w:val="00102873"/>
    <w:rsid w:val="001C29C8"/>
    <w:rsid w:val="007B64D1"/>
    <w:rsid w:val="0084485F"/>
    <w:rsid w:val="00875235"/>
    <w:rsid w:val="00892030"/>
    <w:rsid w:val="008A2940"/>
    <w:rsid w:val="008C6FAB"/>
    <w:rsid w:val="00907C54"/>
    <w:rsid w:val="00960236"/>
    <w:rsid w:val="00972831"/>
    <w:rsid w:val="00A8547C"/>
    <w:rsid w:val="00B05FA1"/>
    <w:rsid w:val="00B6719F"/>
    <w:rsid w:val="00CA164B"/>
    <w:rsid w:val="00D73408"/>
    <w:rsid w:val="00D776AF"/>
    <w:rsid w:val="00DD6A46"/>
    <w:rsid w:val="00EB25CB"/>
    <w:rsid w:val="00EB3560"/>
    <w:rsid w:val="00E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8201A"/>
  <w15:chartTrackingRefBased/>
  <w15:docId w15:val="{02DD0370-B8BD-447D-9BFA-5A6D5291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3A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D1"/>
  </w:style>
  <w:style w:type="paragraph" w:styleId="Footer">
    <w:name w:val="footer"/>
    <w:basedOn w:val="Normal"/>
    <w:link w:val="FooterChar"/>
    <w:uiPriority w:val="99"/>
    <w:unhideWhenUsed/>
    <w:rsid w:val="007B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rxiv.org/cgi/content/short/2020.05.25.20112797v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vid.cdc.gov/covid-data-track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Business School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Federgruen, Awi</dc:creator>
  <cp:keywords/>
  <dc:description/>
  <cp:lastModifiedBy>Sam Joseph</cp:lastModifiedBy>
  <cp:revision>6</cp:revision>
  <dcterms:created xsi:type="dcterms:W3CDTF">2020-10-18T20:23:00Z</dcterms:created>
  <dcterms:modified xsi:type="dcterms:W3CDTF">2020-10-27T18:22:00Z</dcterms:modified>
</cp:coreProperties>
</file>